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26" w:rsidRDefault="00574C26" w:rsidP="00574C26">
      <w:pPr>
        <w:pStyle w:val="3"/>
        <w:spacing w:before="0" w:after="120"/>
        <w:textAlignment w:val="baseline"/>
        <w:rPr>
          <w:rFonts w:ascii="Verdana" w:hAnsi="Verdana"/>
          <w:color w:val="000000"/>
          <w:sz w:val="32"/>
          <w:szCs w:val="32"/>
          <w:lang w:val="ru-RU"/>
        </w:rPr>
      </w:pPr>
      <w:r w:rsidRPr="00797C50">
        <w:rPr>
          <w:rFonts w:ascii="Verdana" w:hAnsi="Verdana"/>
          <w:color w:val="000000"/>
          <w:sz w:val="32"/>
          <w:szCs w:val="32"/>
          <w:lang w:val="ru-RU"/>
        </w:rPr>
        <w:t xml:space="preserve">Задание на </w:t>
      </w:r>
      <w:r w:rsidR="00171B12">
        <w:rPr>
          <w:rFonts w:ascii="Verdana" w:hAnsi="Verdana"/>
          <w:color w:val="000000"/>
          <w:sz w:val="32"/>
          <w:szCs w:val="32"/>
          <w:lang w:val="ru-RU"/>
        </w:rPr>
        <w:t>16</w:t>
      </w:r>
      <w:r w:rsidRPr="00797C50">
        <w:rPr>
          <w:rFonts w:ascii="Verdana" w:hAnsi="Verdana"/>
          <w:color w:val="000000"/>
          <w:sz w:val="32"/>
          <w:szCs w:val="32"/>
          <w:lang w:val="ru-RU"/>
        </w:rPr>
        <w:t>.11.2020 г ПТЭ для ОВ-33</w:t>
      </w:r>
    </w:p>
    <w:p w:rsidR="00171B12" w:rsidRPr="00171B12" w:rsidRDefault="00574C26" w:rsidP="00171B12">
      <w:pPr>
        <w:pStyle w:val="4"/>
        <w:pBdr>
          <w:top w:val="dotted" w:sz="6" w:space="2" w:color="999999"/>
          <w:bottom w:val="dotted" w:sz="6" w:space="2" w:color="999999"/>
        </w:pBdr>
        <w:shd w:val="clear" w:color="auto" w:fill="FFFFFF"/>
        <w:spacing w:before="300" w:after="150"/>
        <w:jc w:val="both"/>
        <w:rPr>
          <w:rFonts w:ascii="Arial" w:hAnsi="Arial" w:cs="Arial"/>
          <w:color w:val="000000"/>
          <w:sz w:val="21"/>
          <w:szCs w:val="21"/>
          <w:lang w:val="ru-RU"/>
        </w:rPr>
      </w:pPr>
      <w:r w:rsidRPr="005254E0">
        <w:rPr>
          <w:sz w:val="28"/>
          <w:szCs w:val="28"/>
          <w:lang w:val="ru-RU"/>
        </w:rPr>
        <w:t>Законспектировать и ответить на вопросы.</w:t>
      </w:r>
      <w:r w:rsidR="00171B12" w:rsidRPr="00171B12">
        <w:rPr>
          <w:rFonts w:ascii="Arial" w:hAnsi="Arial" w:cs="Arial"/>
          <w:color w:val="000000"/>
          <w:sz w:val="21"/>
          <w:szCs w:val="21"/>
          <w:lang w:val="ru-RU"/>
        </w:rPr>
        <w:t xml:space="preserve"> </w:t>
      </w:r>
      <w:r w:rsidR="00171B12" w:rsidRPr="00171B12">
        <w:rPr>
          <w:rFonts w:ascii="Arial" w:hAnsi="Arial" w:cs="Arial"/>
          <w:color w:val="000000"/>
          <w:sz w:val="21"/>
          <w:szCs w:val="21"/>
          <w:lang w:val="ru-RU"/>
        </w:rPr>
        <w:t>Земляное полотно, верхнее строение пути и искусственные сооружения</w:t>
      </w:r>
    </w:p>
    <w:p w:rsidR="00171B12" w:rsidRPr="00171B12" w:rsidRDefault="00171B12" w:rsidP="00171B12">
      <w:pPr>
        <w:rPr>
          <w:rFonts w:ascii="Times New Roman" w:hAnsi="Times New Roman"/>
          <w:sz w:val="24"/>
          <w:szCs w:val="24"/>
          <w:lang w:val="ru-RU"/>
        </w:rPr>
      </w:pPr>
      <w:r>
        <w:rPr>
          <w:rFonts w:ascii="Trebuchet MS" w:hAnsi="Trebuchet MS"/>
          <w:color w:val="000000"/>
          <w:sz w:val="21"/>
          <w:szCs w:val="21"/>
          <w:shd w:val="clear" w:color="auto" w:fill="FFFFFF"/>
        </w:rPr>
        <w:t> </w:t>
      </w:r>
      <w:r w:rsidRPr="00171B12">
        <w:rPr>
          <w:rFonts w:ascii="Trebuchet MS" w:hAnsi="Trebuchet MS"/>
          <w:color w:val="000000"/>
          <w:sz w:val="21"/>
          <w:szCs w:val="21"/>
          <w:shd w:val="clear" w:color="auto" w:fill="FFFFFF"/>
          <w:lang w:val="ru-RU"/>
        </w:rPr>
        <w:t>Ширина земляного полотна, поверху на прямых участках пути должна соответствовать верхнему строению пути. На существующих линиях до их реконструкции допускается ширина земляного полотна не менее: на однопутных линиях - 5,5 м, двухпутных - 9,6 м, а в скальных и дренирующих грунтах не менее: на однопутных линиях - 5,0 м, двухпутных - 9,1 м. Минимальная ширина обочины земляного полотна поверху должна быть 0,4 м с каждой стороны пути.</w:t>
      </w:r>
      <w:r w:rsidRPr="00171B12">
        <w:rPr>
          <w:rFonts w:ascii="Trebuchet MS" w:hAnsi="Trebuchet MS"/>
          <w:color w:val="000000"/>
          <w:sz w:val="21"/>
          <w:szCs w:val="21"/>
          <w:lang w:val="ru-RU"/>
        </w:rPr>
        <w:br/>
      </w:r>
      <w:r w:rsidRPr="00171B12">
        <w:rPr>
          <w:rFonts w:ascii="Trebuchet MS" w:hAnsi="Trebuchet MS"/>
          <w:color w:val="000000"/>
          <w:sz w:val="21"/>
          <w:szCs w:val="21"/>
          <w:shd w:val="clear" w:color="auto" w:fill="FFFFFF"/>
          <w:lang w:val="ru-RU"/>
        </w:rPr>
        <w:t>На кривых участках радиусом менее 2000 м земляное полотно уширяется по установленным нормам.</w:t>
      </w:r>
    </w:p>
    <w:p w:rsidR="00171B12" w:rsidRDefault="00171B12" w:rsidP="00171B12">
      <w:pPr>
        <w:shd w:val="clear" w:color="auto" w:fill="FFFFFF"/>
        <w:jc w:val="center"/>
        <w:rPr>
          <w:rFonts w:ascii="Trebuchet MS" w:hAnsi="Trebuchet MS"/>
          <w:color w:val="000000"/>
          <w:sz w:val="21"/>
          <w:szCs w:val="21"/>
        </w:rPr>
      </w:pPr>
      <w:r>
        <w:rPr>
          <w:rFonts w:ascii="Trebuchet MS" w:hAnsi="Trebuchet MS"/>
          <w:noProof/>
          <w:color w:val="000000"/>
          <w:sz w:val="21"/>
          <w:szCs w:val="21"/>
          <w:lang w:val="ru-RU" w:eastAsia="ru-RU"/>
        </w:rPr>
        <w:drawing>
          <wp:inline distT="0" distB="0" distL="0" distR="0">
            <wp:extent cx="5153025" cy="1647825"/>
            <wp:effectExtent l="0" t="0" r="0" b="0"/>
            <wp:docPr id="2" name="Рисунок 2" descr="Размеры земляного полотна однопутной 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ры земляного полотна однопутной лин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1647825"/>
                    </a:xfrm>
                    <a:prstGeom prst="rect">
                      <a:avLst/>
                    </a:prstGeom>
                    <a:noFill/>
                    <a:ln>
                      <a:noFill/>
                    </a:ln>
                  </pic:spPr>
                </pic:pic>
              </a:graphicData>
            </a:graphic>
          </wp:inline>
        </w:drawing>
      </w:r>
    </w:p>
    <w:p w:rsidR="00171B12" w:rsidRPr="00171B12" w:rsidRDefault="00171B12" w:rsidP="00171B12">
      <w:pPr>
        <w:shd w:val="clear" w:color="auto" w:fill="FFFFFF"/>
        <w:jc w:val="center"/>
        <w:rPr>
          <w:rFonts w:ascii="inherit" w:hAnsi="inherit"/>
          <w:i/>
          <w:iCs/>
          <w:color w:val="000000"/>
          <w:sz w:val="21"/>
          <w:szCs w:val="21"/>
          <w:lang w:val="ru-RU"/>
        </w:rPr>
      </w:pPr>
      <w:r w:rsidRPr="00171B12">
        <w:rPr>
          <w:rFonts w:ascii="inherit" w:hAnsi="inherit"/>
          <w:i/>
          <w:iCs/>
          <w:color w:val="000000"/>
          <w:sz w:val="21"/>
          <w:szCs w:val="21"/>
          <w:lang w:val="ru-RU"/>
        </w:rPr>
        <w:t>Размеры земляного полотна однопутной линии</w:t>
      </w:r>
    </w:p>
    <w:p w:rsidR="00171B12" w:rsidRDefault="00171B12" w:rsidP="00171B12">
      <w:pPr>
        <w:rPr>
          <w:rFonts w:ascii="Times New Roman" w:hAnsi="Times New Roman"/>
          <w:sz w:val="24"/>
          <w:szCs w:val="24"/>
        </w:rPr>
      </w:pPr>
      <w:r w:rsidRPr="00171B12">
        <w:rPr>
          <w:rFonts w:ascii="Trebuchet MS" w:hAnsi="Trebuchet MS"/>
          <w:color w:val="000000"/>
          <w:sz w:val="21"/>
          <w:szCs w:val="21"/>
          <w:shd w:val="clear" w:color="auto" w:fill="FFFFFF"/>
          <w:lang w:val="ru-RU"/>
        </w:rPr>
        <w:t>Для вновь строящихся железнодорожных линий и вторых путей ширина земляного полотна поверху должна соответствовать требованиям Строительных норм и правил.</w:t>
      </w:r>
      <w:r w:rsidRPr="00171B12">
        <w:rPr>
          <w:rFonts w:ascii="Trebuchet MS" w:hAnsi="Trebuchet MS"/>
          <w:color w:val="000000"/>
          <w:sz w:val="21"/>
          <w:szCs w:val="21"/>
          <w:lang w:val="ru-RU"/>
        </w:rPr>
        <w:br/>
      </w:r>
      <w:r w:rsidRPr="00171B12">
        <w:rPr>
          <w:rFonts w:ascii="Trebuchet MS" w:hAnsi="Trebuchet MS"/>
          <w:color w:val="000000"/>
          <w:sz w:val="21"/>
          <w:szCs w:val="21"/>
          <w:shd w:val="clear" w:color="auto" w:fill="FFFFFF"/>
          <w:lang w:val="ru-RU"/>
        </w:rPr>
        <w:t>Бровка земляного полотна в местах разлива вод должна быть не менее чем на 0,5 м выше максимальной высоты наката волны при сильных ветрах.</w:t>
      </w:r>
      <w:r w:rsidRPr="00171B12">
        <w:rPr>
          <w:rFonts w:ascii="Trebuchet MS" w:hAnsi="Trebuchet MS"/>
          <w:color w:val="000000"/>
          <w:sz w:val="21"/>
          <w:szCs w:val="21"/>
          <w:lang w:val="ru-RU"/>
        </w:rPr>
        <w:br/>
      </w:r>
      <w:r w:rsidRPr="00171B12">
        <w:rPr>
          <w:rFonts w:ascii="Trebuchet MS" w:hAnsi="Trebuchet MS"/>
          <w:b/>
          <w:bCs/>
          <w:color w:val="000000"/>
          <w:sz w:val="21"/>
          <w:szCs w:val="21"/>
          <w:shd w:val="clear" w:color="auto" w:fill="FFFFFF"/>
          <w:lang w:val="ru-RU"/>
        </w:rPr>
        <w:t>3.9.</w:t>
      </w:r>
      <w:r>
        <w:rPr>
          <w:rFonts w:ascii="Trebuchet MS" w:hAnsi="Trebuchet MS"/>
          <w:color w:val="000000"/>
          <w:sz w:val="21"/>
          <w:szCs w:val="21"/>
          <w:shd w:val="clear" w:color="auto" w:fill="FFFFFF"/>
        </w:rPr>
        <w:t> </w:t>
      </w:r>
      <w:r w:rsidRPr="00171B12">
        <w:rPr>
          <w:rFonts w:ascii="Trebuchet MS" w:hAnsi="Trebuchet MS"/>
          <w:color w:val="000000"/>
          <w:sz w:val="21"/>
          <w:szCs w:val="21"/>
          <w:shd w:val="clear" w:color="auto" w:fill="FFFFFF"/>
          <w:lang w:val="ru-RU"/>
        </w:rPr>
        <w:t xml:space="preserve">Номинальный размер ширины колеи между внутренними гранями головок рельсов на прямых участках пути и на кривых радиусом 350 м и более - 1520 мм. </w:t>
      </w:r>
      <w:proofErr w:type="spellStart"/>
      <w:r>
        <w:rPr>
          <w:rFonts w:ascii="Trebuchet MS" w:hAnsi="Trebuchet MS"/>
          <w:color w:val="000000"/>
          <w:sz w:val="21"/>
          <w:szCs w:val="21"/>
          <w:shd w:val="clear" w:color="auto" w:fill="FFFFFF"/>
        </w:rPr>
        <w:t>Ширина</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колеи</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на</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более</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крутых</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кривых</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должна</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быть</w:t>
      </w:r>
      <w:proofErr w:type="spellEnd"/>
      <w:r>
        <w:rPr>
          <w:rFonts w:ascii="Trebuchet MS" w:hAnsi="Trebuchet MS"/>
          <w:color w:val="000000"/>
          <w:sz w:val="21"/>
          <w:szCs w:val="21"/>
          <w:shd w:val="clear" w:color="auto" w:fill="FFFFFF"/>
        </w:rPr>
        <w:t>:</w:t>
      </w:r>
    </w:p>
    <w:tbl>
      <w:tblPr>
        <w:tblW w:w="9495" w:type="dxa"/>
        <w:tblBorders>
          <w:top w:val="single" w:sz="6" w:space="0" w:color="BBBBBB"/>
          <w:left w:val="single" w:sz="6" w:space="0" w:color="BBBBBB"/>
          <w:bottom w:val="single" w:sz="6" w:space="0" w:color="BBBBBB"/>
          <w:right w:val="single" w:sz="6" w:space="0" w:color="BBBBBB"/>
        </w:tblBorders>
        <w:shd w:val="clear" w:color="auto" w:fill="FFFFFF"/>
        <w:tblCellMar>
          <w:left w:w="0" w:type="dxa"/>
          <w:right w:w="75" w:type="dxa"/>
        </w:tblCellMar>
        <w:tblLook w:val="04A0" w:firstRow="1" w:lastRow="0" w:firstColumn="1" w:lastColumn="0" w:noHBand="0" w:noVBand="1"/>
      </w:tblPr>
      <w:tblGrid>
        <w:gridCol w:w="7489"/>
        <w:gridCol w:w="2006"/>
      </w:tblGrid>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t>при радиусе от 349 до 300 м</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1530 </w:t>
            </w:r>
            <w:proofErr w:type="spellStart"/>
            <w:r>
              <w:rPr>
                <w:rFonts w:ascii="Trebuchet MS" w:hAnsi="Trebuchet MS"/>
              </w:rPr>
              <w:t>мм</w:t>
            </w:r>
            <w:proofErr w:type="spellEnd"/>
          </w:p>
        </w:tc>
      </w:tr>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E3EDF7"/>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t xml:space="preserve">в </w:t>
            </w:r>
            <w:proofErr w:type="spellStart"/>
            <w:r w:rsidRPr="00171B12">
              <w:rPr>
                <w:rFonts w:ascii="Trebuchet MS" w:hAnsi="Trebuchet MS"/>
                <w:lang w:val="ru-RU"/>
              </w:rPr>
              <w:t>т.ч</w:t>
            </w:r>
            <w:proofErr w:type="spellEnd"/>
            <w:r w:rsidRPr="00171B12">
              <w:rPr>
                <w:rFonts w:ascii="Trebuchet MS" w:hAnsi="Trebuchet MS"/>
                <w:lang w:val="ru-RU"/>
              </w:rPr>
              <w:t>. на железобетонных шпалах</w:t>
            </w:r>
          </w:p>
        </w:tc>
        <w:tc>
          <w:tcPr>
            <w:tcW w:w="0" w:type="auto"/>
            <w:tcBorders>
              <w:top w:val="single" w:sz="6" w:space="0" w:color="BBBBBB"/>
              <w:left w:val="single" w:sz="6" w:space="0" w:color="BBBBBB"/>
              <w:bottom w:val="single" w:sz="6" w:space="0" w:color="BBBBBB"/>
              <w:right w:val="single" w:sz="6" w:space="0" w:color="BBBBBB"/>
            </w:tcBorders>
            <w:shd w:val="clear" w:color="auto" w:fill="E3EDF7"/>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1520 </w:t>
            </w:r>
            <w:proofErr w:type="spellStart"/>
            <w:r>
              <w:rPr>
                <w:rFonts w:ascii="Trebuchet MS" w:hAnsi="Trebuchet MS"/>
              </w:rPr>
              <w:t>мм</w:t>
            </w:r>
            <w:proofErr w:type="spellEnd"/>
          </w:p>
        </w:tc>
      </w:tr>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t>при радиусе 299 м и менее</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1535 </w:t>
            </w:r>
            <w:proofErr w:type="spellStart"/>
            <w:r>
              <w:rPr>
                <w:rFonts w:ascii="Trebuchet MS" w:hAnsi="Trebuchet MS"/>
              </w:rPr>
              <w:t>мм</w:t>
            </w:r>
            <w:proofErr w:type="spellEnd"/>
          </w:p>
        </w:tc>
      </w:tr>
    </w:tbl>
    <w:p w:rsidR="00171B12" w:rsidRDefault="00171B12" w:rsidP="00171B12">
      <w:r w:rsidRPr="00171B12">
        <w:rPr>
          <w:rFonts w:ascii="Trebuchet MS" w:hAnsi="Trebuchet MS"/>
          <w:color w:val="000000"/>
          <w:sz w:val="21"/>
          <w:szCs w:val="21"/>
          <w:shd w:val="clear" w:color="auto" w:fill="FFFFFF"/>
          <w:lang w:val="ru-RU"/>
        </w:rPr>
        <w:t xml:space="preserve">На участках железнодорожных линий и путях, где комплексная замена рельсошпальной решетки не производилось, допускается на прямых и кривых участках пути радиусом более 650 м номинальный размер ширины колеи - 1524 мм. </w:t>
      </w:r>
      <w:proofErr w:type="spellStart"/>
      <w:r>
        <w:rPr>
          <w:rFonts w:ascii="Trebuchet MS" w:hAnsi="Trebuchet MS"/>
          <w:color w:val="000000"/>
          <w:sz w:val="21"/>
          <w:szCs w:val="21"/>
          <w:shd w:val="clear" w:color="auto" w:fill="FFFFFF"/>
        </w:rPr>
        <w:t>При</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этом</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на</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более</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крутых</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кривых</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ширина</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колеи</w:t>
      </w:r>
      <w:proofErr w:type="spellEnd"/>
      <w:r>
        <w:rPr>
          <w:rFonts w:ascii="Trebuchet MS" w:hAnsi="Trebuchet MS"/>
          <w:color w:val="000000"/>
          <w:sz w:val="21"/>
          <w:szCs w:val="21"/>
          <w:shd w:val="clear" w:color="auto" w:fill="FFFFFF"/>
        </w:rPr>
        <w:t xml:space="preserve"> </w:t>
      </w:r>
      <w:proofErr w:type="spellStart"/>
      <w:r>
        <w:rPr>
          <w:rFonts w:ascii="Trebuchet MS" w:hAnsi="Trebuchet MS"/>
          <w:color w:val="000000"/>
          <w:sz w:val="21"/>
          <w:szCs w:val="21"/>
          <w:shd w:val="clear" w:color="auto" w:fill="FFFFFF"/>
        </w:rPr>
        <w:t>принимается</w:t>
      </w:r>
      <w:proofErr w:type="spellEnd"/>
      <w:r>
        <w:rPr>
          <w:rFonts w:ascii="Trebuchet MS" w:hAnsi="Trebuchet MS"/>
          <w:color w:val="000000"/>
          <w:sz w:val="21"/>
          <w:szCs w:val="21"/>
          <w:shd w:val="clear" w:color="auto" w:fill="FFFFFF"/>
        </w:rPr>
        <w:t>:</w:t>
      </w:r>
    </w:p>
    <w:tbl>
      <w:tblPr>
        <w:tblW w:w="9495" w:type="dxa"/>
        <w:tblBorders>
          <w:top w:val="single" w:sz="6" w:space="0" w:color="BBBBBB"/>
          <w:left w:val="single" w:sz="6" w:space="0" w:color="BBBBBB"/>
          <w:bottom w:val="single" w:sz="6" w:space="0" w:color="BBBBBB"/>
          <w:right w:val="single" w:sz="6" w:space="0" w:color="BBBBBB"/>
        </w:tblBorders>
        <w:shd w:val="clear" w:color="auto" w:fill="FFFFFF"/>
        <w:tblCellMar>
          <w:left w:w="0" w:type="dxa"/>
          <w:right w:w="75" w:type="dxa"/>
        </w:tblCellMar>
        <w:tblLook w:val="04A0" w:firstRow="1" w:lastRow="0" w:firstColumn="1" w:lastColumn="0" w:noHBand="0" w:noVBand="1"/>
      </w:tblPr>
      <w:tblGrid>
        <w:gridCol w:w="7303"/>
        <w:gridCol w:w="2192"/>
      </w:tblGrid>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t>при радиусе от 650 до 450 м</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1530 </w:t>
            </w:r>
            <w:proofErr w:type="spellStart"/>
            <w:r>
              <w:rPr>
                <w:rFonts w:ascii="Trebuchet MS" w:hAnsi="Trebuchet MS"/>
              </w:rPr>
              <w:t>мм</w:t>
            </w:r>
            <w:proofErr w:type="spellEnd"/>
          </w:p>
        </w:tc>
      </w:tr>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E3EDF7"/>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lastRenderedPageBreak/>
              <w:t>при радиусе от 449 до 350 м</w:t>
            </w:r>
          </w:p>
        </w:tc>
        <w:tc>
          <w:tcPr>
            <w:tcW w:w="0" w:type="auto"/>
            <w:tcBorders>
              <w:top w:val="single" w:sz="6" w:space="0" w:color="BBBBBB"/>
              <w:left w:val="single" w:sz="6" w:space="0" w:color="BBBBBB"/>
              <w:bottom w:val="single" w:sz="6" w:space="0" w:color="BBBBBB"/>
              <w:right w:val="single" w:sz="6" w:space="0" w:color="BBBBBB"/>
            </w:tcBorders>
            <w:shd w:val="clear" w:color="auto" w:fill="E3EDF7"/>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1535 </w:t>
            </w:r>
            <w:proofErr w:type="spellStart"/>
            <w:r>
              <w:rPr>
                <w:rFonts w:ascii="Trebuchet MS" w:hAnsi="Trebuchet MS"/>
              </w:rPr>
              <w:t>мм</w:t>
            </w:r>
            <w:proofErr w:type="spellEnd"/>
          </w:p>
        </w:tc>
      </w:tr>
      <w:tr w:rsidR="00171B12" w:rsidTr="00171B12">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Pr="00171B12" w:rsidRDefault="00171B12">
            <w:pPr>
              <w:rPr>
                <w:rFonts w:ascii="Trebuchet MS" w:hAnsi="Trebuchet MS"/>
                <w:lang w:val="ru-RU"/>
              </w:rPr>
            </w:pPr>
            <w:r w:rsidRPr="00171B12">
              <w:rPr>
                <w:rFonts w:ascii="Trebuchet MS" w:hAnsi="Trebuchet MS"/>
                <w:lang w:val="ru-RU"/>
              </w:rPr>
              <w:t>при радиусе от 349 м и менее</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45" w:type="dxa"/>
              <w:bottom w:w="0" w:type="dxa"/>
              <w:right w:w="75" w:type="dxa"/>
            </w:tcMar>
            <w:hideMark/>
          </w:tcPr>
          <w:p w:rsidR="00171B12" w:rsidRDefault="00171B12">
            <w:pPr>
              <w:rPr>
                <w:rFonts w:ascii="Trebuchet MS" w:hAnsi="Trebuchet MS"/>
              </w:rPr>
            </w:pPr>
            <w:r>
              <w:rPr>
                <w:rFonts w:ascii="Trebuchet MS" w:hAnsi="Trebuchet MS"/>
              </w:rPr>
              <w:t xml:space="preserve">1540 </w:t>
            </w:r>
            <w:proofErr w:type="spellStart"/>
            <w:r>
              <w:rPr>
                <w:rFonts w:ascii="Trebuchet MS" w:hAnsi="Trebuchet MS"/>
              </w:rPr>
              <w:t>мм</w:t>
            </w:r>
            <w:proofErr w:type="spellEnd"/>
          </w:p>
        </w:tc>
      </w:tr>
    </w:tbl>
    <w:p w:rsidR="00171B12" w:rsidRPr="00171B12" w:rsidRDefault="00171B12" w:rsidP="00171B12">
      <w:pPr>
        <w:rPr>
          <w:lang w:val="ru-RU"/>
        </w:rPr>
      </w:pPr>
      <w:r w:rsidRPr="00171B12">
        <w:rPr>
          <w:rFonts w:ascii="Trebuchet MS" w:hAnsi="Trebuchet MS"/>
          <w:color w:val="000000"/>
          <w:sz w:val="21"/>
          <w:szCs w:val="21"/>
          <w:shd w:val="clear" w:color="auto" w:fill="FFFFFF"/>
          <w:lang w:val="ru-RU"/>
        </w:rPr>
        <w:t>Величины отклонений от номинальных размеров ширины колеи, не требующие устранения, на прямых и кривых участках пути не должны превышать по сужению - 4 мм, по уширению + 8 мм, а на участках, где установлены скорости движения 50 км/ч и менее - по сужению - 4 мм, по уширению + 10 мм.</w:t>
      </w:r>
      <w:r w:rsidRPr="00171B12">
        <w:rPr>
          <w:rFonts w:ascii="Trebuchet MS" w:hAnsi="Trebuchet MS"/>
          <w:color w:val="000000"/>
          <w:sz w:val="21"/>
          <w:szCs w:val="21"/>
          <w:lang w:val="ru-RU"/>
        </w:rPr>
        <w:br/>
      </w:r>
      <w:r w:rsidRPr="00171B12">
        <w:rPr>
          <w:rFonts w:ascii="Trebuchet MS" w:hAnsi="Trebuchet MS"/>
          <w:color w:val="000000"/>
          <w:sz w:val="21"/>
          <w:szCs w:val="21"/>
          <w:shd w:val="clear" w:color="auto" w:fill="FFFFFF"/>
          <w:lang w:val="ru-RU"/>
        </w:rPr>
        <w:t>Порядок устранения отклонений, превышающих указанные значения, устанавливаются МПС России.</w:t>
      </w:r>
      <w:r w:rsidRPr="00171B12">
        <w:rPr>
          <w:rFonts w:ascii="Trebuchet MS" w:hAnsi="Trebuchet MS"/>
          <w:color w:val="000000"/>
          <w:sz w:val="21"/>
          <w:szCs w:val="21"/>
          <w:lang w:val="ru-RU"/>
        </w:rPr>
        <w:br/>
      </w:r>
      <w:r w:rsidRPr="00171B12">
        <w:rPr>
          <w:rFonts w:ascii="Trebuchet MS" w:hAnsi="Trebuchet MS"/>
          <w:color w:val="000000"/>
          <w:sz w:val="21"/>
          <w:szCs w:val="21"/>
          <w:shd w:val="clear" w:color="auto" w:fill="FFFFFF"/>
          <w:lang w:val="ru-RU"/>
        </w:rPr>
        <w:t>Ширина колеи менее 1512 мм и более 1548 мм не допускается.</w:t>
      </w:r>
      <w:r w:rsidRPr="00171B12">
        <w:rPr>
          <w:rFonts w:ascii="Trebuchet MS" w:hAnsi="Trebuchet MS"/>
          <w:color w:val="000000"/>
          <w:sz w:val="21"/>
          <w:szCs w:val="21"/>
          <w:lang w:val="ru-RU"/>
        </w:rPr>
        <w:br/>
      </w:r>
      <w:r w:rsidRPr="00171B12">
        <w:rPr>
          <w:rFonts w:ascii="Trebuchet MS" w:hAnsi="Trebuchet MS"/>
          <w:color w:val="000000"/>
          <w:sz w:val="21"/>
          <w:szCs w:val="21"/>
          <w:shd w:val="clear" w:color="auto" w:fill="FFFFFF"/>
          <w:lang w:val="ru-RU"/>
        </w:rPr>
        <w:t xml:space="preserve">Порядок эксплуатации </w:t>
      </w:r>
      <w:proofErr w:type="spellStart"/>
      <w:r w:rsidRPr="00171B12">
        <w:rPr>
          <w:rFonts w:ascii="Trebuchet MS" w:hAnsi="Trebuchet MS"/>
          <w:color w:val="000000"/>
          <w:sz w:val="21"/>
          <w:szCs w:val="21"/>
          <w:shd w:val="clear" w:color="auto" w:fill="FFFFFF"/>
          <w:lang w:val="ru-RU"/>
        </w:rPr>
        <w:t>бесстыкового</w:t>
      </w:r>
      <w:proofErr w:type="spellEnd"/>
      <w:r w:rsidRPr="00171B12">
        <w:rPr>
          <w:rFonts w:ascii="Trebuchet MS" w:hAnsi="Trebuchet MS"/>
          <w:color w:val="000000"/>
          <w:sz w:val="21"/>
          <w:szCs w:val="21"/>
          <w:shd w:val="clear" w:color="auto" w:fill="FFFFFF"/>
          <w:lang w:val="ru-RU"/>
        </w:rPr>
        <w:t xml:space="preserve"> пути на железобетонных шпалах, уложенных до 1996 г., устанавливается МПС России.</w:t>
      </w:r>
    </w:p>
    <w:p w:rsidR="00171B12" w:rsidRDefault="00171B12" w:rsidP="00171B12">
      <w:pPr>
        <w:shd w:val="clear" w:color="auto" w:fill="FFFFFF"/>
        <w:jc w:val="center"/>
        <w:rPr>
          <w:rFonts w:ascii="Trebuchet MS" w:hAnsi="Trebuchet MS"/>
          <w:color w:val="000000"/>
          <w:sz w:val="21"/>
          <w:szCs w:val="21"/>
        </w:rPr>
      </w:pPr>
      <w:r>
        <w:rPr>
          <w:rFonts w:ascii="Trebuchet MS" w:hAnsi="Trebuchet MS"/>
          <w:noProof/>
          <w:color w:val="000000"/>
          <w:sz w:val="21"/>
          <w:szCs w:val="21"/>
          <w:lang w:val="ru-RU" w:eastAsia="ru-RU"/>
        </w:rPr>
        <w:drawing>
          <wp:inline distT="0" distB="0" distL="0" distR="0">
            <wp:extent cx="5238750" cy="1076325"/>
            <wp:effectExtent l="0" t="0" r="0" b="0"/>
            <wp:docPr id="1" name="Рисунок 1" descr="Размеры земляного полотна двухпутной 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меры земляного полотна двухпутной лин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076325"/>
                    </a:xfrm>
                    <a:prstGeom prst="rect">
                      <a:avLst/>
                    </a:prstGeom>
                    <a:noFill/>
                    <a:ln>
                      <a:noFill/>
                    </a:ln>
                  </pic:spPr>
                </pic:pic>
              </a:graphicData>
            </a:graphic>
          </wp:inline>
        </w:drawing>
      </w:r>
    </w:p>
    <w:p w:rsidR="00171B12" w:rsidRDefault="00171B12" w:rsidP="00171B12">
      <w:pPr>
        <w:shd w:val="clear" w:color="auto" w:fill="FFFFFF"/>
        <w:jc w:val="center"/>
        <w:rPr>
          <w:rFonts w:ascii="inherit" w:hAnsi="inherit"/>
          <w:i/>
          <w:iCs/>
          <w:color w:val="000000"/>
          <w:sz w:val="21"/>
          <w:szCs w:val="21"/>
          <w:lang w:val="ru-RU"/>
        </w:rPr>
      </w:pPr>
      <w:r w:rsidRPr="00171B12">
        <w:rPr>
          <w:rFonts w:ascii="inherit" w:hAnsi="inherit"/>
          <w:i/>
          <w:iCs/>
          <w:color w:val="000000"/>
          <w:sz w:val="21"/>
          <w:szCs w:val="21"/>
          <w:lang w:val="ru-RU"/>
        </w:rPr>
        <w:t>Размеры земляного полотна двухпутной линии</w:t>
      </w:r>
    </w:p>
    <w:p w:rsidR="00171B12" w:rsidRDefault="00171B12" w:rsidP="00171B12">
      <w:pPr>
        <w:pStyle w:val="1"/>
        <w:spacing w:before="450" w:beforeAutospacing="0" w:after="450" w:afterAutospacing="0"/>
        <w:ind w:left="450" w:right="450"/>
        <w:rPr>
          <w:rFonts w:ascii="Arial" w:hAnsi="Arial" w:cs="Arial"/>
          <w:color w:val="474747"/>
          <w:sz w:val="39"/>
          <w:szCs w:val="39"/>
        </w:rPr>
      </w:pPr>
      <w:r>
        <w:rPr>
          <w:rFonts w:ascii="Arial" w:hAnsi="Arial" w:cs="Arial"/>
          <w:color w:val="474747"/>
          <w:sz w:val="39"/>
          <w:szCs w:val="39"/>
        </w:rPr>
        <w:t>Ограждение поезда при вынужденной остановке на перегоне</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Style w:val="a8"/>
          <w:rFonts w:ascii="Arial" w:hAnsi="Arial" w:cs="Arial"/>
          <w:color w:val="3D3D3D"/>
          <w:sz w:val="23"/>
          <w:szCs w:val="23"/>
        </w:rPr>
        <w:t>3.13.</w:t>
      </w:r>
      <w:r>
        <w:rPr>
          <w:rFonts w:ascii="Arial" w:hAnsi="Arial" w:cs="Arial"/>
          <w:color w:val="3D3D3D"/>
          <w:sz w:val="23"/>
          <w:szCs w:val="23"/>
        </w:rPr>
        <w:t> При вынужденной остановке на перегоне пассажирского поезда ограждение производит проводник последнего пассажирского вагона по указанию машиниста в случаях:</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Fonts w:ascii="Arial" w:hAnsi="Arial" w:cs="Arial"/>
          <w:color w:val="3D3D3D"/>
          <w:sz w:val="23"/>
          <w:szCs w:val="23"/>
        </w:rPr>
        <w:t>§ затребования восстановительного или пожарного поезда, а также вспомогательного локомотива, если помощь оказывается с хвоста;</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Fonts w:ascii="Arial" w:hAnsi="Arial" w:cs="Arial"/>
          <w:color w:val="3D3D3D"/>
          <w:sz w:val="23"/>
          <w:szCs w:val="23"/>
        </w:rPr>
        <w:t xml:space="preserve">§ если поезд был отправлен при перерыве действия всех средств сигнализации и связи по правильному пути на двухпутный перегон или однопутный перегон с извещением об </w:t>
      </w:r>
      <w:proofErr w:type="spellStart"/>
      <w:r>
        <w:rPr>
          <w:rFonts w:ascii="Arial" w:hAnsi="Arial" w:cs="Arial"/>
          <w:color w:val="3D3D3D"/>
          <w:sz w:val="23"/>
          <w:szCs w:val="23"/>
        </w:rPr>
        <w:t>отправленииза</w:t>
      </w:r>
      <w:proofErr w:type="spellEnd"/>
      <w:r>
        <w:rPr>
          <w:rFonts w:ascii="Arial" w:hAnsi="Arial" w:cs="Arial"/>
          <w:color w:val="3D3D3D"/>
          <w:sz w:val="23"/>
          <w:szCs w:val="23"/>
        </w:rPr>
        <w:t xml:space="preserve"> ним другого поезда.</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Fonts w:ascii="Arial" w:hAnsi="Arial" w:cs="Arial"/>
          <w:color w:val="3D3D3D"/>
          <w:sz w:val="23"/>
          <w:szCs w:val="23"/>
        </w:rPr>
        <w:t>Проводник последнего пассажирского вагона, ограждающий остановившийся поезд, должен привести в действие ручной тормоз, уложить на расстоянии 800 м от хвоста поезда петарды, после чего отойти от места уложенных петард обратно к поезду на 20 м и показывать ручной красный сигнал в сторону перегона (рис. 3.16).</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Fonts w:ascii="Arial" w:hAnsi="Arial" w:cs="Arial"/>
          <w:color w:val="3D3D3D"/>
          <w:sz w:val="23"/>
          <w:szCs w:val="23"/>
        </w:rPr>
        <w:t> </w:t>
      </w:r>
    </w:p>
    <w:p w:rsidR="00171B12" w:rsidRDefault="00171B12" w:rsidP="00171B12">
      <w:pPr>
        <w:pStyle w:val="a3"/>
        <w:spacing w:before="150" w:beforeAutospacing="0" w:after="150" w:afterAutospacing="0" w:line="360" w:lineRule="atLeast"/>
        <w:ind w:left="150" w:right="150"/>
        <w:rPr>
          <w:rFonts w:ascii="Arial" w:hAnsi="Arial" w:cs="Arial"/>
          <w:color w:val="3D3D3D"/>
          <w:sz w:val="23"/>
          <w:szCs w:val="23"/>
        </w:rPr>
      </w:pPr>
      <w:r>
        <w:rPr>
          <w:rFonts w:ascii="Arial" w:hAnsi="Arial" w:cs="Arial"/>
          <w:noProof/>
          <w:color w:val="3D3D3D"/>
          <w:sz w:val="23"/>
          <w:szCs w:val="23"/>
        </w:rPr>
        <w:lastRenderedPageBreak/>
        <w:drawing>
          <wp:inline distT="0" distB="0" distL="0" distR="0">
            <wp:extent cx="5495925" cy="3657600"/>
            <wp:effectExtent l="0" t="0" r="0" b="0"/>
            <wp:docPr id="3" name="Рисунок 3" descr="https://helpiks.org/helpiksorg/baza7/482647038152.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7/482647038152.files/image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657600"/>
                    </a:xfrm>
                    <a:prstGeom prst="rect">
                      <a:avLst/>
                    </a:prstGeom>
                    <a:noFill/>
                    <a:ln>
                      <a:noFill/>
                    </a:ln>
                  </pic:spPr>
                </pic:pic>
              </a:graphicData>
            </a:graphic>
          </wp:inline>
        </w:drawing>
      </w:r>
    </w:p>
    <w:p w:rsidR="00171B12" w:rsidRDefault="00171B12" w:rsidP="00171B12">
      <w:pPr>
        <w:shd w:val="clear" w:color="auto" w:fill="FFFFFF"/>
        <w:tabs>
          <w:tab w:val="left" w:pos="8220"/>
        </w:tabs>
        <w:rPr>
          <w:rFonts w:ascii="inherit" w:hAnsi="inherit"/>
          <w:i/>
          <w:iCs/>
          <w:color w:val="000000"/>
          <w:sz w:val="21"/>
          <w:szCs w:val="21"/>
          <w:lang w:val="ru-RU"/>
        </w:rPr>
      </w:pPr>
      <w:r>
        <w:rPr>
          <w:rFonts w:ascii="inherit" w:hAnsi="inherit"/>
          <w:i/>
          <w:iCs/>
          <w:color w:val="000000"/>
          <w:sz w:val="21"/>
          <w:szCs w:val="21"/>
          <w:lang w:val="ru-RU"/>
        </w:rPr>
        <w:tab/>
      </w:r>
    </w:p>
    <w:p w:rsidR="00171B12" w:rsidRPr="00171B12" w:rsidRDefault="00171B12" w:rsidP="00171B12">
      <w:pPr>
        <w:shd w:val="clear" w:color="auto" w:fill="FFFFFF"/>
        <w:tabs>
          <w:tab w:val="left" w:pos="8220"/>
        </w:tabs>
        <w:rPr>
          <w:rFonts w:ascii="inherit" w:hAnsi="inherit"/>
          <w:i/>
          <w:iCs/>
          <w:color w:val="FF0000"/>
          <w:sz w:val="32"/>
          <w:szCs w:val="32"/>
          <w:lang w:val="ru-RU"/>
        </w:rPr>
      </w:pPr>
      <w:r w:rsidRPr="00171B12">
        <w:rPr>
          <w:rFonts w:ascii="inherit" w:hAnsi="inherit"/>
          <w:i/>
          <w:iCs/>
          <w:color w:val="FF0000"/>
          <w:sz w:val="32"/>
          <w:szCs w:val="32"/>
          <w:lang w:val="ru-RU"/>
        </w:rPr>
        <w:t>Задание на 20.11.2020 г</w:t>
      </w:r>
    </w:p>
    <w:p w:rsidR="00171B12" w:rsidRDefault="00171B12" w:rsidP="00171B12">
      <w:pPr>
        <w:shd w:val="clear" w:color="auto" w:fill="FFFFFF"/>
        <w:tabs>
          <w:tab w:val="left" w:pos="8220"/>
        </w:tabs>
        <w:rPr>
          <w:rFonts w:ascii="inherit" w:hAnsi="inherit"/>
          <w:i/>
          <w:iCs/>
          <w:color w:val="000000"/>
          <w:sz w:val="21"/>
          <w:szCs w:val="21"/>
          <w:lang w:val="ru-RU"/>
        </w:rPr>
      </w:pPr>
      <w:r>
        <w:rPr>
          <w:rFonts w:ascii="inherit" w:hAnsi="inherit"/>
          <w:i/>
          <w:iCs/>
          <w:color w:val="000000"/>
          <w:sz w:val="21"/>
          <w:szCs w:val="21"/>
          <w:lang w:val="ru-RU"/>
        </w:rPr>
        <w:t>ТЕМА Требование к сигнальным и путевым знакам?</w:t>
      </w:r>
    </w:p>
    <w:p w:rsidR="00171B12" w:rsidRDefault="00171B12" w:rsidP="00171B12">
      <w:pPr>
        <w:shd w:val="clear" w:color="auto" w:fill="FFFFFF"/>
        <w:tabs>
          <w:tab w:val="left" w:pos="8220"/>
        </w:tabs>
        <w:rPr>
          <w:rFonts w:ascii="inherit" w:hAnsi="inherit"/>
          <w:i/>
          <w:iCs/>
          <w:color w:val="000000"/>
          <w:sz w:val="21"/>
          <w:szCs w:val="21"/>
          <w:lang w:val="ru-RU"/>
        </w:rPr>
      </w:pP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Сигнальные знаки устанавливаются у главных железнодорожных путей, соответственно, владельцем инфраструктуры, владельцем железнодорожного пути необщего пользования с правой стороны по направлению движения, а путевые - с правой стороны по счету километров на расстоянии не менее 3100 мм от оси крайнего железнодорожного пути.</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В выемках (кроме скальных) и на выходах устанавливаются за пределами кюветов и лотков с полевой стороны</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В сильно заносимых выемках и на выходах из них (в пределах до 100 м) указанные знаки устанавливаются на расстоянии не менее 5700 мм от оси крайнего железнодорожного пути. Перечень таких выемок устанавливается, соответственно, владельцем инфраструктуры, владельцем железнодорожных путей необщего пользования. На электрифицированных участках сигнальные и путевые знаки могут устанавливаться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Сигнальные знаки должны соответствовать нормам и правилам.</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b/>
          <w:bCs/>
          <w:color w:val="333333"/>
          <w:sz w:val="24"/>
          <w:szCs w:val="24"/>
          <w:lang w:val="ru-RU" w:eastAsia="ru-RU"/>
        </w:rPr>
        <w:t>Требования ПТЭ к расположению путевых знаков.</w:t>
      </w:r>
    </w:p>
    <w:p w:rsidR="00171B12" w:rsidRPr="00171B12" w:rsidRDefault="00171B12" w:rsidP="00171B12">
      <w:pPr>
        <w:spacing w:before="0" w:after="0" w:line="240" w:lineRule="auto"/>
        <w:rPr>
          <w:rFonts w:ascii="Times New Roman" w:hAnsi="Times New Roman"/>
          <w:sz w:val="24"/>
          <w:szCs w:val="24"/>
          <w:lang w:val="ru-RU" w:eastAsia="ru-RU"/>
        </w:rPr>
      </w:pPr>
      <w:r w:rsidRPr="00171B12">
        <w:rPr>
          <w:rFonts w:ascii="Georgia" w:hAnsi="Georgia"/>
          <w:color w:val="333333"/>
          <w:sz w:val="24"/>
          <w:szCs w:val="24"/>
          <w:lang w:val="ru-RU" w:eastAsia="ru-RU"/>
        </w:rPr>
        <w:lastRenderedPageBreak/>
        <w:br/>
      </w:r>
    </w:p>
    <w:p w:rsidR="00171B12" w:rsidRPr="00171B12" w:rsidRDefault="00171B12" w:rsidP="00171B12">
      <w:pPr>
        <w:spacing w:before="0" w:after="0" w:line="240" w:lineRule="auto"/>
        <w:rPr>
          <w:rFonts w:ascii="Times New Roman" w:hAnsi="Times New Roman"/>
          <w:sz w:val="24"/>
          <w:szCs w:val="24"/>
          <w:lang w:val="ru-RU" w:eastAsia="ru-RU"/>
        </w:rPr>
      </w:pPr>
      <w:r w:rsidRPr="00171B12">
        <w:rPr>
          <w:rFonts w:ascii="Georgia" w:hAnsi="Georgia"/>
          <w:color w:val="333333"/>
          <w:sz w:val="24"/>
          <w:szCs w:val="24"/>
          <w:lang w:val="ru-RU" w:eastAsia="ru-RU"/>
        </w:rPr>
        <w:br/>
      </w:r>
      <w:r w:rsidRPr="00171B12">
        <w:rPr>
          <w:rFonts w:ascii="Georgia" w:hAnsi="Georgia"/>
          <w:color w:val="333333"/>
          <w:sz w:val="24"/>
          <w:szCs w:val="24"/>
          <w:lang w:val="ru-RU" w:eastAsia="ru-RU"/>
        </w:rPr>
        <w:br/>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Владелец инфраструктуры, владелец железнодорожного пути необщего пользования устанавливают:</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у главных железнодорожных путей путевые знаки;</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В сильно заносимых выемках и на выходах из них (в пределах до 100 м) указанные знаки устанавливаются на расстоянии не менее 5700 мм от оси крайнего железнодорожного пути. Перечень таких выемок устанавливается, соответственно, владельцем инфраструктуры, владельцем железнодорожных путей необщего пользования. На электрифицированных участках путевые знаки могут устанавливаться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b/>
          <w:bCs/>
          <w:color w:val="333333"/>
          <w:sz w:val="24"/>
          <w:szCs w:val="24"/>
          <w:lang w:val="ru-RU" w:eastAsia="ru-RU"/>
        </w:rPr>
        <w:t>особые путевые знаки</w:t>
      </w:r>
      <w:r w:rsidRPr="00171B12">
        <w:rPr>
          <w:rFonts w:ascii="Georgia" w:hAnsi="Georgia"/>
          <w:color w:val="333333"/>
          <w:sz w:val="24"/>
          <w:szCs w:val="24"/>
          <w:lang w:val="ru-RU" w:eastAsia="ru-RU"/>
        </w:rPr>
        <w:t> - границы железнодорожной полосы отвода,</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указатель номера стрелки,</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знак оси пассажирского здания,</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знаки на линейных путевых зданиях,</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реперы начала и конца круговых кривых,</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а также начала, середины и конца переходных кривых,</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скрытых сооружений земляного полотна,</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наивысшего горизонта вод</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 и максимальной высоты волны;</w:t>
      </w:r>
    </w:p>
    <w:p w:rsidR="00171B12" w:rsidRPr="00171B12" w:rsidRDefault="00171B12" w:rsidP="00171B12">
      <w:pPr>
        <w:spacing w:before="100" w:beforeAutospacing="1" w:after="100" w:afterAutospacing="1" w:line="240" w:lineRule="auto"/>
        <w:rPr>
          <w:rFonts w:ascii="Georgia" w:hAnsi="Georgia"/>
          <w:color w:val="333333"/>
          <w:sz w:val="24"/>
          <w:szCs w:val="24"/>
          <w:lang w:val="ru-RU" w:eastAsia="ru-RU"/>
        </w:rPr>
      </w:pPr>
      <w:r w:rsidRPr="00171B12">
        <w:rPr>
          <w:rFonts w:ascii="Georgia" w:hAnsi="Georgia"/>
          <w:color w:val="333333"/>
          <w:sz w:val="24"/>
          <w:szCs w:val="24"/>
          <w:lang w:val="ru-RU" w:eastAsia="ru-RU"/>
        </w:rPr>
        <w:t>Путевые знаки должны соответствовать нормам и правилам.</w:t>
      </w:r>
    </w:p>
    <w:p w:rsidR="00171B12" w:rsidRPr="001D4A08" w:rsidRDefault="001D4A08" w:rsidP="00171B12">
      <w:pPr>
        <w:shd w:val="clear" w:color="auto" w:fill="FFFFFF"/>
        <w:tabs>
          <w:tab w:val="left" w:pos="8220"/>
        </w:tabs>
        <w:rPr>
          <w:rFonts w:ascii="inherit" w:hAnsi="inherit"/>
          <w:i/>
          <w:iCs/>
          <w:color w:val="FF0000"/>
          <w:sz w:val="36"/>
          <w:szCs w:val="36"/>
          <w:lang w:val="ru-RU"/>
        </w:rPr>
      </w:pPr>
      <w:bookmarkStart w:id="0" w:name="_GoBack"/>
      <w:r w:rsidRPr="001D4A08">
        <w:rPr>
          <w:rFonts w:ascii="inherit" w:hAnsi="inherit"/>
          <w:i/>
          <w:iCs/>
          <w:color w:val="FF0000"/>
          <w:sz w:val="36"/>
          <w:szCs w:val="36"/>
          <w:lang w:val="ru-RU"/>
        </w:rPr>
        <w:t xml:space="preserve">Тема </w:t>
      </w:r>
      <w:proofErr w:type="gramStart"/>
      <w:r w:rsidRPr="001D4A08">
        <w:rPr>
          <w:rFonts w:ascii="inherit" w:hAnsi="inherit"/>
          <w:i/>
          <w:iCs/>
          <w:color w:val="FF0000"/>
          <w:sz w:val="36"/>
          <w:szCs w:val="36"/>
          <w:lang w:val="ru-RU"/>
        </w:rPr>
        <w:t>:</w:t>
      </w:r>
      <w:r w:rsidRPr="001D4A08">
        <w:rPr>
          <w:rFonts w:ascii="inherit" w:hAnsi="inherit"/>
          <w:i/>
          <w:iCs/>
          <w:color w:val="FF0000"/>
          <w:sz w:val="36"/>
          <w:szCs w:val="36"/>
          <w:lang w:val="ru-RU"/>
        </w:rPr>
        <w:t>Р</w:t>
      </w:r>
      <w:proofErr w:type="gramEnd"/>
      <w:r w:rsidRPr="001D4A08">
        <w:rPr>
          <w:rFonts w:ascii="inherit" w:hAnsi="inherit"/>
          <w:i/>
          <w:iCs/>
          <w:color w:val="FF0000"/>
          <w:sz w:val="36"/>
          <w:szCs w:val="36"/>
          <w:lang w:val="ru-RU"/>
        </w:rPr>
        <w:t>асстояние между</w:t>
      </w:r>
      <w:r w:rsidRPr="001D4A08">
        <w:rPr>
          <w:rFonts w:ascii="inherit" w:hAnsi="inherit"/>
          <w:i/>
          <w:iCs/>
          <w:color w:val="FF0000"/>
          <w:sz w:val="36"/>
          <w:szCs w:val="36"/>
          <w:lang w:val="ru-RU"/>
        </w:rPr>
        <w:t>: осями.</w:t>
      </w:r>
    </w:p>
    <w:bookmarkEnd w:id="0"/>
    <w:p w:rsidR="00171B12" w:rsidRPr="00171B12" w:rsidRDefault="00171B12" w:rsidP="00171B12">
      <w:pPr>
        <w:shd w:val="clear" w:color="auto" w:fill="FFFFFF"/>
        <w:spacing w:before="0" w:after="0" w:line="360" w:lineRule="atLeast"/>
        <w:rPr>
          <w:rFonts w:ascii="Arial" w:hAnsi="Arial" w:cs="Arial"/>
          <w:color w:val="333333"/>
          <w:sz w:val="27"/>
          <w:szCs w:val="27"/>
          <w:lang w:val="ru-RU" w:eastAsia="ru-RU"/>
        </w:rPr>
      </w:pPr>
      <w:r w:rsidRPr="00171B12">
        <w:rPr>
          <w:rFonts w:ascii="Arial" w:hAnsi="Arial" w:cs="Arial"/>
          <w:color w:val="333333"/>
          <w:sz w:val="27"/>
          <w:szCs w:val="27"/>
          <w:lang w:val="ru-RU" w:eastAsia="ru-RU"/>
        </w:rPr>
        <w:t>На станции: </w:t>
      </w:r>
      <w:proofErr w:type="gramStart"/>
      <w:r w:rsidRPr="00171B12">
        <w:rPr>
          <w:rFonts w:ascii="Arial" w:hAnsi="Arial" w:cs="Arial"/>
          <w:b/>
          <w:bCs/>
          <w:color w:val="333333"/>
          <w:sz w:val="27"/>
          <w:szCs w:val="27"/>
          <w:lang w:val="ru-RU" w:eastAsia="ru-RU"/>
        </w:rPr>
        <w:t>Расстояние</w:t>
      </w:r>
      <w:r w:rsidRPr="00171B12">
        <w:rPr>
          <w:rFonts w:ascii="Arial" w:hAnsi="Arial" w:cs="Arial"/>
          <w:color w:val="333333"/>
          <w:sz w:val="27"/>
          <w:szCs w:val="27"/>
          <w:lang w:val="ru-RU" w:eastAsia="ru-RU"/>
        </w:rPr>
        <w:t> </w:t>
      </w:r>
      <w:r w:rsidRPr="00171B12">
        <w:rPr>
          <w:rFonts w:ascii="Arial" w:hAnsi="Arial" w:cs="Arial"/>
          <w:b/>
          <w:bCs/>
          <w:color w:val="333333"/>
          <w:sz w:val="27"/>
          <w:szCs w:val="27"/>
          <w:lang w:val="ru-RU" w:eastAsia="ru-RU"/>
        </w:rPr>
        <w:t>между</w:t>
      </w:r>
      <w:r w:rsidRPr="00171B12">
        <w:rPr>
          <w:rFonts w:ascii="Arial" w:hAnsi="Arial" w:cs="Arial"/>
          <w:color w:val="333333"/>
          <w:sz w:val="27"/>
          <w:szCs w:val="27"/>
          <w:lang w:val="ru-RU" w:eastAsia="ru-RU"/>
        </w:rPr>
        <w:t> </w:t>
      </w:r>
      <w:r w:rsidRPr="00171B12">
        <w:rPr>
          <w:rFonts w:ascii="Arial" w:hAnsi="Arial" w:cs="Arial"/>
          <w:b/>
          <w:bCs/>
          <w:color w:val="333333"/>
          <w:sz w:val="27"/>
          <w:szCs w:val="27"/>
          <w:lang w:val="ru-RU" w:eastAsia="ru-RU"/>
        </w:rPr>
        <w:t>осями</w:t>
      </w:r>
      <w:r w:rsidRPr="00171B12">
        <w:rPr>
          <w:rFonts w:ascii="Arial" w:hAnsi="Arial" w:cs="Arial"/>
          <w:color w:val="333333"/>
          <w:sz w:val="27"/>
          <w:szCs w:val="27"/>
          <w:lang w:val="ru-RU" w:eastAsia="ru-RU"/>
        </w:rPr>
        <w:t> </w:t>
      </w:r>
      <w:r w:rsidRPr="00171B12">
        <w:rPr>
          <w:rFonts w:ascii="Arial" w:hAnsi="Arial" w:cs="Arial"/>
          <w:b/>
          <w:bCs/>
          <w:color w:val="333333"/>
          <w:sz w:val="27"/>
          <w:szCs w:val="27"/>
          <w:lang w:val="ru-RU" w:eastAsia="ru-RU"/>
        </w:rPr>
        <w:t>путей</w:t>
      </w:r>
      <w:r w:rsidRPr="00171B12">
        <w:rPr>
          <w:rFonts w:ascii="Arial" w:hAnsi="Arial" w:cs="Arial"/>
          <w:color w:val="333333"/>
          <w:sz w:val="27"/>
          <w:szCs w:val="27"/>
          <w:lang w:val="ru-RU" w:eastAsia="ru-RU"/>
        </w:rPr>
        <w:t> </w:t>
      </w:r>
      <w:r w:rsidRPr="00171B12">
        <w:rPr>
          <w:rFonts w:ascii="Arial" w:hAnsi="Arial" w:cs="Arial"/>
          <w:b/>
          <w:bCs/>
          <w:color w:val="333333"/>
          <w:sz w:val="27"/>
          <w:szCs w:val="27"/>
          <w:lang w:val="ru-RU" w:eastAsia="ru-RU"/>
        </w:rPr>
        <w:t>на</w:t>
      </w:r>
      <w:r w:rsidRPr="00171B12">
        <w:rPr>
          <w:rFonts w:ascii="Arial" w:hAnsi="Arial" w:cs="Arial"/>
          <w:color w:val="333333"/>
          <w:sz w:val="27"/>
          <w:szCs w:val="27"/>
          <w:lang w:val="ru-RU" w:eastAsia="ru-RU"/>
        </w:rPr>
        <w:t xml:space="preserve"> главных, </w:t>
      </w:r>
      <w:proofErr w:type="spellStart"/>
      <w:r w:rsidRPr="00171B12">
        <w:rPr>
          <w:rFonts w:ascii="Arial" w:hAnsi="Arial" w:cs="Arial"/>
          <w:color w:val="333333"/>
          <w:sz w:val="27"/>
          <w:szCs w:val="27"/>
          <w:lang w:val="ru-RU" w:eastAsia="ru-RU"/>
        </w:rPr>
        <w:t>приемо-отпр</w:t>
      </w:r>
      <w:proofErr w:type="spellEnd"/>
      <w:r w:rsidRPr="00171B12">
        <w:rPr>
          <w:rFonts w:ascii="Arial" w:hAnsi="Arial" w:cs="Arial"/>
          <w:color w:val="333333"/>
          <w:sz w:val="27"/>
          <w:szCs w:val="27"/>
          <w:lang w:val="ru-RU" w:eastAsia="ru-RU"/>
        </w:rPr>
        <w:t>., и сортировочных </w:t>
      </w:r>
      <w:r w:rsidRPr="00171B12">
        <w:rPr>
          <w:rFonts w:ascii="Arial" w:hAnsi="Arial" w:cs="Arial"/>
          <w:b/>
          <w:bCs/>
          <w:color w:val="333333"/>
          <w:sz w:val="27"/>
          <w:szCs w:val="27"/>
          <w:lang w:val="ru-RU" w:eastAsia="ru-RU"/>
        </w:rPr>
        <w:t>путей</w:t>
      </w:r>
      <w:r w:rsidRPr="00171B12">
        <w:rPr>
          <w:rFonts w:ascii="Arial" w:hAnsi="Arial" w:cs="Arial"/>
          <w:color w:val="333333"/>
          <w:sz w:val="27"/>
          <w:szCs w:val="27"/>
          <w:lang w:val="ru-RU" w:eastAsia="ru-RU"/>
        </w:rPr>
        <w:t>, </w:t>
      </w:r>
      <w:r w:rsidRPr="00171B12">
        <w:rPr>
          <w:rFonts w:ascii="Arial" w:hAnsi="Arial" w:cs="Arial"/>
          <w:b/>
          <w:bCs/>
          <w:color w:val="333333"/>
          <w:sz w:val="27"/>
          <w:szCs w:val="27"/>
          <w:lang w:val="ru-RU" w:eastAsia="ru-RU"/>
        </w:rPr>
        <w:t>на</w:t>
      </w:r>
      <w:r w:rsidRPr="00171B12">
        <w:rPr>
          <w:rFonts w:ascii="Arial" w:hAnsi="Arial" w:cs="Arial"/>
          <w:color w:val="333333"/>
          <w:sz w:val="27"/>
          <w:szCs w:val="27"/>
          <w:lang w:val="ru-RU" w:eastAsia="ru-RU"/>
        </w:rPr>
        <w:t> прямых участках должно быть не менее 4800 мм; на второстепенных и грузовых дворов не менее 4500мм, если главные </w:t>
      </w:r>
      <w:r w:rsidRPr="00171B12">
        <w:rPr>
          <w:rFonts w:ascii="Arial" w:hAnsi="Arial" w:cs="Arial"/>
          <w:b/>
          <w:bCs/>
          <w:color w:val="333333"/>
          <w:sz w:val="27"/>
          <w:szCs w:val="27"/>
          <w:lang w:val="ru-RU" w:eastAsia="ru-RU"/>
        </w:rPr>
        <w:t>пути</w:t>
      </w:r>
      <w:r w:rsidRPr="00171B12">
        <w:rPr>
          <w:rFonts w:ascii="Arial" w:hAnsi="Arial" w:cs="Arial"/>
          <w:color w:val="333333"/>
          <w:sz w:val="27"/>
          <w:szCs w:val="27"/>
          <w:lang w:val="ru-RU" w:eastAsia="ru-RU"/>
        </w:rPr>
        <w:t> крайние не менее 4100мм, для перегрузки из вагона в вагон не менее 3600мм.</w:t>
      </w:r>
      <w:proofErr w:type="gramEnd"/>
    </w:p>
    <w:p w:rsidR="00171B12" w:rsidRPr="00171B12" w:rsidRDefault="00171B12" w:rsidP="00171B12">
      <w:pPr>
        <w:shd w:val="clear" w:color="auto" w:fill="FFFFFF"/>
        <w:tabs>
          <w:tab w:val="left" w:pos="8220"/>
        </w:tabs>
        <w:rPr>
          <w:rFonts w:ascii="inherit" w:hAnsi="inherit"/>
          <w:i/>
          <w:iCs/>
          <w:color w:val="000000"/>
          <w:sz w:val="21"/>
          <w:szCs w:val="21"/>
          <w:lang w:val="ru-RU"/>
        </w:rPr>
      </w:pPr>
    </w:p>
    <w:p w:rsidR="00574C26" w:rsidRPr="005254E0" w:rsidRDefault="00574C26" w:rsidP="00574C26">
      <w:pPr>
        <w:rPr>
          <w:sz w:val="28"/>
          <w:szCs w:val="28"/>
          <w:lang w:val="ru-RU"/>
        </w:rPr>
      </w:pPr>
    </w:p>
    <w:sectPr w:rsidR="00574C26" w:rsidRPr="005254E0" w:rsidSect="00D01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418"/>
    <w:multiLevelType w:val="multilevel"/>
    <w:tmpl w:val="B23E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515"/>
    <w:multiLevelType w:val="multilevel"/>
    <w:tmpl w:val="E1B2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A364B"/>
    <w:multiLevelType w:val="multilevel"/>
    <w:tmpl w:val="55E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040D9"/>
    <w:multiLevelType w:val="hybridMultilevel"/>
    <w:tmpl w:val="DA4C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26"/>
    <w:rsid w:val="00171B12"/>
    <w:rsid w:val="001D4A08"/>
    <w:rsid w:val="005254E0"/>
    <w:rsid w:val="00574C26"/>
    <w:rsid w:val="00BA0657"/>
    <w:rsid w:val="00D01875"/>
    <w:rsid w:val="00F4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6"/>
    <w:pPr>
      <w:spacing w:before="200"/>
    </w:pPr>
    <w:rPr>
      <w:rFonts w:ascii="Verdana" w:eastAsia="Times New Roman" w:hAnsi="Verdana" w:cs="Times New Roman"/>
      <w:sz w:val="20"/>
      <w:szCs w:val="20"/>
      <w:lang w:val="en-US"/>
    </w:rPr>
  </w:style>
  <w:style w:type="paragraph" w:styleId="1">
    <w:name w:val="heading 1"/>
    <w:basedOn w:val="a"/>
    <w:link w:val="10"/>
    <w:uiPriority w:val="9"/>
    <w:qFormat/>
    <w:rsid w:val="00574C26"/>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5254E0"/>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4C2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71B12"/>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574C26"/>
    <w:rPr>
      <w:rFonts w:ascii="Cambria" w:eastAsia="Times New Roman" w:hAnsi="Cambria" w:cs="Times New Roman"/>
      <w:b/>
      <w:bCs/>
      <w:sz w:val="26"/>
      <w:szCs w:val="26"/>
      <w:lang w:val="en-US"/>
    </w:rPr>
  </w:style>
  <w:style w:type="paragraph" w:styleId="a3">
    <w:name w:val="Normal (Web)"/>
    <w:basedOn w:val="a"/>
    <w:uiPriority w:val="99"/>
    <w:unhideWhenUsed/>
    <w:rsid w:val="00574C26"/>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5254E0"/>
    <w:rPr>
      <w:rFonts w:asciiTheme="majorHAnsi" w:eastAsiaTheme="majorEastAsia" w:hAnsiTheme="majorHAnsi" w:cstheme="majorBidi"/>
      <w:b/>
      <w:bCs/>
      <w:color w:val="4F81BD" w:themeColor="accent1"/>
      <w:sz w:val="26"/>
      <w:szCs w:val="26"/>
      <w:lang w:val="en-US"/>
    </w:rPr>
  </w:style>
  <w:style w:type="character" w:styleId="a4">
    <w:name w:val="Emphasis"/>
    <w:basedOn w:val="a0"/>
    <w:uiPriority w:val="20"/>
    <w:qFormat/>
    <w:rsid w:val="005254E0"/>
    <w:rPr>
      <w:i/>
      <w:iCs/>
    </w:rPr>
  </w:style>
  <w:style w:type="character" w:styleId="a5">
    <w:name w:val="Hyperlink"/>
    <w:basedOn w:val="a0"/>
    <w:uiPriority w:val="99"/>
    <w:semiHidden/>
    <w:unhideWhenUsed/>
    <w:rsid w:val="005254E0"/>
    <w:rPr>
      <w:color w:val="0000FF"/>
      <w:u w:val="single"/>
    </w:rPr>
  </w:style>
  <w:style w:type="character" w:customStyle="1" w:styleId="40">
    <w:name w:val="Заголовок 4 Знак"/>
    <w:basedOn w:val="a0"/>
    <w:link w:val="4"/>
    <w:uiPriority w:val="9"/>
    <w:semiHidden/>
    <w:rsid w:val="00171B12"/>
    <w:rPr>
      <w:rFonts w:asciiTheme="majorHAnsi" w:eastAsiaTheme="majorEastAsia" w:hAnsiTheme="majorHAnsi" w:cstheme="majorBidi"/>
      <w:b/>
      <w:bCs/>
      <w:i/>
      <w:iCs/>
      <w:color w:val="4F81BD" w:themeColor="accent1"/>
      <w:sz w:val="20"/>
      <w:szCs w:val="20"/>
      <w:lang w:val="en-US"/>
    </w:rPr>
  </w:style>
  <w:style w:type="paragraph" w:styleId="a6">
    <w:name w:val="Balloon Text"/>
    <w:basedOn w:val="a"/>
    <w:link w:val="a7"/>
    <w:uiPriority w:val="99"/>
    <w:semiHidden/>
    <w:unhideWhenUsed/>
    <w:rsid w:val="00171B1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B12"/>
    <w:rPr>
      <w:rFonts w:ascii="Tahoma" w:eastAsia="Times New Roman" w:hAnsi="Tahoma" w:cs="Tahoma"/>
      <w:sz w:val="16"/>
      <w:szCs w:val="16"/>
      <w:lang w:val="en-US"/>
    </w:rPr>
  </w:style>
  <w:style w:type="character" w:styleId="a8">
    <w:name w:val="Strong"/>
    <w:basedOn w:val="a0"/>
    <w:uiPriority w:val="22"/>
    <w:qFormat/>
    <w:rsid w:val="00171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6"/>
    <w:pPr>
      <w:spacing w:before="200"/>
    </w:pPr>
    <w:rPr>
      <w:rFonts w:ascii="Verdana" w:eastAsia="Times New Roman" w:hAnsi="Verdana" w:cs="Times New Roman"/>
      <w:sz w:val="20"/>
      <w:szCs w:val="20"/>
      <w:lang w:val="en-US"/>
    </w:rPr>
  </w:style>
  <w:style w:type="paragraph" w:styleId="1">
    <w:name w:val="heading 1"/>
    <w:basedOn w:val="a"/>
    <w:link w:val="10"/>
    <w:uiPriority w:val="9"/>
    <w:qFormat/>
    <w:rsid w:val="00574C26"/>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5254E0"/>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4C2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71B12"/>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C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574C26"/>
    <w:rPr>
      <w:rFonts w:ascii="Cambria" w:eastAsia="Times New Roman" w:hAnsi="Cambria" w:cs="Times New Roman"/>
      <w:b/>
      <w:bCs/>
      <w:sz w:val="26"/>
      <w:szCs w:val="26"/>
      <w:lang w:val="en-US"/>
    </w:rPr>
  </w:style>
  <w:style w:type="paragraph" w:styleId="a3">
    <w:name w:val="Normal (Web)"/>
    <w:basedOn w:val="a"/>
    <w:uiPriority w:val="99"/>
    <w:unhideWhenUsed/>
    <w:rsid w:val="00574C26"/>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5254E0"/>
    <w:rPr>
      <w:rFonts w:asciiTheme="majorHAnsi" w:eastAsiaTheme="majorEastAsia" w:hAnsiTheme="majorHAnsi" w:cstheme="majorBidi"/>
      <w:b/>
      <w:bCs/>
      <w:color w:val="4F81BD" w:themeColor="accent1"/>
      <w:sz w:val="26"/>
      <w:szCs w:val="26"/>
      <w:lang w:val="en-US"/>
    </w:rPr>
  </w:style>
  <w:style w:type="character" w:styleId="a4">
    <w:name w:val="Emphasis"/>
    <w:basedOn w:val="a0"/>
    <w:uiPriority w:val="20"/>
    <w:qFormat/>
    <w:rsid w:val="005254E0"/>
    <w:rPr>
      <w:i/>
      <w:iCs/>
    </w:rPr>
  </w:style>
  <w:style w:type="character" w:styleId="a5">
    <w:name w:val="Hyperlink"/>
    <w:basedOn w:val="a0"/>
    <w:uiPriority w:val="99"/>
    <w:semiHidden/>
    <w:unhideWhenUsed/>
    <w:rsid w:val="005254E0"/>
    <w:rPr>
      <w:color w:val="0000FF"/>
      <w:u w:val="single"/>
    </w:rPr>
  </w:style>
  <w:style w:type="character" w:customStyle="1" w:styleId="40">
    <w:name w:val="Заголовок 4 Знак"/>
    <w:basedOn w:val="a0"/>
    <w:link w:val="4"/>
    <w:uiPriority w:val="9"/>
    <w:semiHidden/>
    <w:rsid w:val="00171B12"/>
    <w:rPr>
      <w:rFonts w:asciiTheme="majorHAnsi" w:eastAsiaTheme="majorEastAsia" w:hAnsiTheme="majorHAnsi" w:cstheme="majorBidi"/>
      <w:b/>
      <w:bCs/>
      <w:i/>
      <w:iCs/>
      <w:color w:val="4F81BD" w:themeColor="accent1"/>
      <w:sz w:val="20"/>
      <w:szCs w:val="20"/>
      <w:lang w:val="en-US"/>
    </w:rPr>
  </w:style>
  <w:style w:type="paragraph" w:styleId="a6">
    <w:name w:val="Balloon Text"/>
    <w:basedOn w:val="a"/>
    <w:link w:val="a7"/>
    <w:uiPriority w:val="99"/>
    <w:semiHidden/>
    <w:unhideWhenUsed/>
    <w:rsid w:val="00171B1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B12"/>
    <w:rPr>
      <w:rFonts w:ascii="Tahoma" w:eastAsia="Times New Roman" w:hAnsi="Tahoma" w:cs="Tahoma"/>
      <w:sz w:val="16"/>
      <w:szCs w:val="16"/>
      <w:lang w:val="en-US"/>
    </w:rPr>
  </w:style>
  <w:style w:type="character" w:styleId="a8">
    <w:name w:val="Strong"/>
    <w:basedOn w:val="a0"/>
    <w:uiPriority w:val="22"/>
    <w:qFormat/>
    <w:rsid w:val="00171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086">
      <w:bodyDiv w:val="1"/>
      <w:marLeft w:val="0"/>
      <w:marRight w:val="0"/>
      <w:marTop w:val="0"/>
      <w:marBottom w:val="0"/>
      <w:divBdr>
        <w:top w:val="none" w:sz="0" w:space="0" w:color="auto"/>
        <w:left w:val="none" w:sz="0" w:space="0" w:color="auto"/>
        <w:bottom w:val="none" w:sz="0" w:space="0" w:color="auto"/>
        <w:right w:val="none" w:sz="0" w:space="0" w:color="auto"/>
      </w:divBdr>
    </w:div>
    <w:div w:id="192230923">
      <w:bodyDiv w:val="1"/>
      <w:marLeft w:val="0"/>
      <w:marRight w:val="0"/>
      <w:marTop w:val="0"/>
      <w:marBottom w:val="0"/>
      <w:divBdr>
        <w:top w:val="none" w:sz="0" w:space="0" w:color="auto"/>
        <w:left w:val="none" w:sz="0" w:space="0" w:color="auto"/>
        <w:bottom w:val="none" w:sz="0" w:space="0" w:color="auto"/>
        <w:right w:val="none" w:sz="0" w:space="0" w:color="auto"/>
      </w:divBdr>
    </w:div>
    <w:div w:id="783773076">
      <w:bodyDiv w:val="1"/>
      <w:marLeft w:val="0"/>
      <w:marRight w:val="0"/>
      <w:marTop w:val="0"/>
      <w:marBottom w:val="0"/>
      <w:divBdr>
        <w:top w:val="none" w:sz="0" w:space="0" w:color="auto"/>
        <w:left w:val="none" w:sz="0" w:space="0" w:color="auto"/>
        <w:bottom w:val="none" w:sz="0" w:space="0" w:color="auto"/>
        <w:right w:val="none" w:sz="0" w:space="0" w:color="auto"/>
      </w:divBdr>
      <w:divsChild>
        <w:div w:id="1924490831">
          <w:marLeft w:val="0"/>
          <w:marRight w:val="0"/>
          <w:marTop w:val="0"/>
          <w:marBottom w:val="0"/>
          <w:divBdr>
            <w:top w:val="none" w:sz="0" w:space="0" w:color="auto"/>
            <w:left w:val="none" w:sz="0" w:space="0" w:color="auto"/>
            <w:bottom w:val="none" w:sz="0" w:space="0" w:color="auto"/>
            <w:right w:val="none" w:sz="0" w:space="0" w:color="auto"/>
          </w:divBdr>
          <w:divsChild>
            <w:div w:id="1100640350">
              <w:marLeft w:val="0"/>
              <w:marRight w:val="0"/>
              <w:marTop w:val="0"/>
              <w:marBottom w:val="0"/>
              <w:divBdr>
                <w:top w:val="none" w:sz="0" w:space="0" w:color="auto"/>
                <w:left w:val="none" w:sz="0" w:space="0" w:color="auto"/>
                <w:bottom w:val="none" w:sz="0" w:space="0" w:color="auto"/>
                <w:right w:val="none" w:sz="0" w:space="0" w:color="auto"/>
              </w:divBdr>
            </w:div>
          </w:divsChild>
        </w:div>
        <w:div w:id="1712684322">
          <w:marLeft w:val="0"/>
          <w:marRight w:val="0"/>
          <w:marTop w:val="0"/>
          <w:marBottom w:val="0"/>
          <w:divBdr>
            <w:top w:val="none" w:sz="0" w:space="0" w:color="auto"/>
            <w:left w:val="none" w:sz="0" w:space="0" w:color="auto"/>
            <w:bottom w:val="none" w:sz="0" w:space="0" w:color="auto"/>
            <w:right w:val="none" w:sz="0" w:space="0" w:color="auto"/>
          </w:divBdr>
          <w:divsChild>
            <w:div w:id="350883240">
              <w:marLeft w:val="15"/>
              <w:marRight w:val="15"/>
              <w:marTop w:val="15"/>
              <w:marBottom w:val="15"/>
              <w:divBdr>
                <w:top w:val="none" w:sz="0" w:space="0" w:color="auto"/>
                <w:left w:val="none" w:sz="0" w:space="0" w:color="auto"/>
                <w:bottom w:val="none" w:sz="0" w:space="0" w:color="auto"/>
                <w:right w:val="none" w:sz="0" w:space="0" w:color="auto"/>
              </w:divBdr>
              <w:divsChild>
                <w:div w:id="398290599">
                  <w:marLeft w:val="0"/>
                  <w:marRight w:val="0"/>
                  <w:marTop w:val="0"/>
                  <w:marBottom w:val="0"/>
                  <w:divBdr>
                    <w:top w:val="none" w:sz="0" w:space="0" w:color="auto"/>
                    <w:left w:val="none" w:sz="0" w:space="0" w:color="auto"/>
                    <w:bottom w:val="none" w:sz="0" w:space="0" w:color="auto"/>
                    <w:right w:val="none" w:sz="0" w:space="0" w:color="auto"/>
                  </w:divBdr>
                  <w:divsChild>
                    <w:div w:id="1528520674">
                      <w:marLeft w:val="0"/>
                      <w:marRight w:val="0"/>
                      <w:marTop w:val="0"/>
                      <w:marBottom w:val="0"/>
                      <w:divBdr>
                        <w:top w:val="none" w:sz="0" w:space="0" w:color="auto"/>
                        <w:left w:val="none" w:sz="0" w:space="0" w:color="auto"/>
                        <w:bottom w:val="none" w:sz="0" w:space="0" w:color="auto"/>
                        <w:right w:val="none" w:sz="0" w:space="0" w:color="auto"/>
                      </w:divBdr>
                      <w:divsChild>
                        <w:div w:id="1377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20407">
      <w:bodyDiv w:val="1"/>
      <w:marLeft w:val="0"/>
      <w:marRight w:val="0"/>
      <w:marTop w:val="0"/>
      <w:marBottom w:val="0"/>
      <w:divBdr>
        <w:top w:val="none" w:sz="0" w:space="0" w:color="auto"/>
        <w:left w:val="none" w:sz="0" w:space="0" w:color="auto"/>
        <w:bottom w:val="none" w:sz="0" w:space="0" w:color="auto"/>
        <w:right w:val="none" w:sz="0" w:space="0" w:color="auto"/>
      </w:divBdr>
    </w:div>
    <w:div w:id="1464421437">
      <w:bodyDiv w:val="1"/>
      <w:marLeft w:val="0"/>
      <w:marRight w:val="0"/>
      <w:marTop w:val="0"/>
      <w:marBottom w:val="0"/>
      <w:divBdr>
        <w:top w:val="none" w:sz="0" w:space="0" w:color="auto"/>
        <w:left w:val="none" w:sz="0" w:space="0" w:color="auto"/>
        <w:bottom w:val="none" w:sz="0" w:space="0" w:color="auto"/>
        <w:right w:val="none" w:sz="0" w:space="0" w:color="auto"/>
      </w:divBdr>
      <w:divsChild>
        <w:div w:id="1530294102">
          <w:marLeft w:val="0"/>
          <w:marRight w:val="0"/>
          <w:marTop w:val="0"/>
          <w:marBottom w:val="0"/>
          <w:divBdr>
            <w:top w:val="none" w:sz="0" w:space="0" w:color="auto"/>
            <w:left w:val="none" w:sz="0" w:space="0" w:color="auto"/>
            <w:bottom w:val="none" w:sz="0" w:space="0" w:color="auto"/>
            <w:right w:val="none" w:sz="0" w:space="0" w:color="auto"/>
          </w:divBdr>
        </w:div>
      </w:divsChild>
    </w:div>
    <w:div w:id="1700929755">
      <w:bodyDiv w:val="1"/>
      <w:marLeft w:val="0"/>
      <w:marRight w:val="0"/>
      <w:marTop w:val="0"/>
      <w:marBottom w:val="0"/>
      <w:divBdr>
        <w:top w:val="none" w:sz="0" w:space="0" w:color="auto"/>
        <w:left w:val="none" w:sz="0" w:space="0" w:color="auto"/>
        <w:bottom w:val="none" w:sz="0" w:space="0" w:color="auto"/>
        <w:right w:val="none" w:sz="0" w:space="0" w:color="auto"/>
      </w:divBdr>
      <w:divsChild>
        <w:div w:id="971716484">
          <w:marLeft w:val="0"/>
          <w:marRight w:val="0"/>
          <w:marTop w:val="0"/>
          <w:marBottom w:val="300"/>
          <w:divBdr>
            <w:top w:val="none" w:sz="0" w:space="0" w:color="auto"/>
            <w:left w:val="none" w:sz="0" w:space="0" w:color="auto"/>
            <w:bottom w:val="none" w:sz="0" w:space="0" w:color="auto"/>
            <w:right w:val="none" w:sz="0" w:space="0" w:color="auto"/>
          </w:divBdr>
        </w:div>
        <w:div w:id="19415995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Черчение</cp:lastModifiedBy>
  <cp:revision>2</cp:revision>
  <dcterms:created xsi:type="dcterms:W3CDTF">2020-11-12T04:14:00Z</dcterms:created>
  <dcterms:modified xsi:type="dcterms:W3CDTF">2020-11-12T04:14:00Z</dcterms:modified>
</cp:coreProperties>
</file>